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5C37A" w14:textId="77777777" w:rsidR="00276F27" w:rsidRDefault="00276F27" w:rsidP="00276F27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 xml:space="preserve">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5F3A08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Pr="004979A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79AA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947BDE" w:rsidRPr="004979AA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4979AA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4979A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4979A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4763CDFC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F3A08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444E33D5" w:rsidR="00303F50" w:rsidRDefault="00303F50" w:rsidP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F3A08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27A5F9A4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7702AC0" w:rsidR="00303F50" w:rsidRDefault="005F3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3332134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F3A08">
        <w:rPr>
          <w:rFonts w:ascii="Arial" w:hAnsi="Arial" w:cs="Arial"/>
          <w:sz w:val="22"/>
          <w:szCs w:val="16"/>
        </w:rPr>
        <w:t>uczenia się: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bookmarkStart w:id="0" w:name="_GoBack"/>
        <w:bookmarkEnd w:id="0"/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E6BA2" w14:textId="77777777" w:rsidR="000E78C5" w:rsidRDefault="000E78C5">
      <w:r>
        <w:separator/>
      </w:r>
    </w:p>
  </w:endnote>
  <w:endnote w:type="continuationSeparator" w:id="0">
    <w:p w14:paraId="5EA03E64" w14:textId="77777777" w:rsidR="000E78C5" w:rsidRDefault="000E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2462E3B1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3A08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7D931" w14:textId="77777777" w:rsidR="000E78C5" w:rsidRDefault="000E78C5">
      <w:r>
        <w:separator/>
      </w:r>
    </w:p>
  </w:footnote>
  <w:footnote w:type="continuationSeparator" w:id="0">
    <w:p w14:paraId="3010E75B" w14:textId="77777777" w:rsidR="000E78C5" w:rsidRDefault="000E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B3870"/>
    <w:rsid w:val="000B3F88"/>
    <w:rsid w:val="000E5445"/>
    <w:rsid w:val="000E78C5"/>
    <w:rsid w:val="001037DA"/>
    <w:rsid w:val="0011353C"/>
    <w:rsid w:val="001C3EF7"/>
    <w:rsid w:val="001D2B6A"/>
    <w:rsid w:val="00205543"/>
    <w:rsid w:val="002275CA"/>
    <w:rsid w:val="0023268C"/>
    <w:rsid w:val="00262A7D"/>
    <w:rsid w:val="00276F27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979AA"/>
    <w:rsid w:val="00506BD4"/>
    <w:rsid w:val="005271BD"/>
    <w:rsid w:val="00551B28"/>
    <w:rsid w:val="0057565C"/>
    <w:rsid w:val="00587555"/>
    <w:rsid w:val="005C068F"/>
    <w:rsid w:val="005F1D6D"/>
    <w:rsid w:val="005F244C"/>
    <w:rsid w:val="005F3A08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7D1E85"/>
    <w:rsid w:val="00812FA6"/>
    <w:rsid w:val="00827D3B"/>
    <w:rsid w:val="00847145"/>
    <w:rsid w:val="0085432F"/>
    <w:rsid w:val="00874F42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EC7902"/>
    <w:rsid w:val="00F16DB5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4</cp:revision>
  <cp:lastPrinted>2012-01-27T07:28:00Z</cp:lastPrinted>
  <dcterms:created xsi:type="dcterms:W3CDTF">2022-05-30T10:40:00Z</dcterms:created>
  <dcterms:modified xsi:type="dcterms:W3CDTF">2022-10-07T17:42:00Z</dcterms:modified>
</cp:coreProperties>
</file>