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  <w:bookmarkStart w:id="0" w:name="_GoBack"/>
      <w:bookmarkEnd w:id="0"/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307A63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dyplomowe 2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54819" w:rsidRPr="00854819" w:rsidRDefault="00854819" w:rsidP="008548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4819">
              <w:rPr>
                <w:rFonts w:ascii="Arial" w:hAnsi="Arial" w:cs="Arial"/>
                <w:sz w:val="20"/>
                <w:szCs w:val="20"/>
                <w:lang w:val="en" w:eastAsia="pl-PL"/>
              </w:rPr>
              <w:t>Diploma seminar</w:t>
            </w:r>
            <w:r>
              <w:rPr>
                <w:rFonts w:ascii="Arial" w:hAnsi="Arial" w:cs="Arial"/>
                <w:sz w:val="20"/>
                <w:szCs w:val="20"/>
                <w:lang w:val="en" w:eastAsia="pl-PL"/>
              </w:rPr>
              <w:t xml:space="preserve"> 2</w:t>
            </w:r>
          </w:p>
          <w:p w:rsidR="00B4693D" w:rsidRDefault="00B4693D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  <w:p w:rsidR="00854819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Bałuszyński</w:t>
            </w:r>
            <w:proofErr w:type="spellEnd"/>
          </w:p>
          <w:p w:rsidR="00307A63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seminarium dyplomowego jest przygotowanie studentów do zrealizowania pracy magisterskiej poprzez cały proces twórczy od koncepcji do końcowej akceptacji pracy, obejmujący m. in. wybór tematyki, zdefiniowanie problemu badawczego/poznawczego jak również jego rozwiązanie.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 w:rsidP="00854819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rozwiązań problemów, wystąpienia ustne studentów, prezentacja realizacji pracy </w:t>
            </w:r>
            <w:r w:rsidR="00854819">
              <w:rPr>
                <w:rFonts w:ascii="Arial" w:hAnsi="Arial" w:cs="Arial"/>
                <w:sz w:val="20"/>
                <w:szCs w:val="20"/>
              </w:rPr>
              <w:t xml:space="preserve">inżynierskiej, </w:t>
            </w:r>
            <w:r>
              <w:rPr>
                <w:rFonts w:ascii="Arial" w:hAnsi="Arial" w:cs="Arial"/>
                <w:sz w:val="20"/>
                <w:szCs w:val="20"/>
              </w:rPr>
              <w:t>poszczególnych jej etapów, czynny udział w dyskusji uczestników seminarium pod opieką doświadczonego pracownika naukowego. Omówienie wyników pracy oraz prezentacja końcowej wersji pracy wraz z konkluzjami wynikającymi z tematu oraz sformułowanie ewentualnych pojawiających się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307A6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umiejętności tworzenia spójnych i logicznych wypowiedzi przy użyciu prawidłowej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profesjonalnej terminologii.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Przegląd literatury w kontekście: poszukiwanie – selekcjonowanie - krytyczne poznawanie.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Zaawansowane przeszukiwania literaturowych baz danych, studiowanie i cytowanie artykułów naukowych z zachowaniem kwestii ochrony własności intelektualnej.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 prezentacji wyników.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Zapoznanie się z narzędziami informatycznymi wspomagającymi tworzenie opracowań naukowych wraz z systemami katalogowania źródeł i automatycznego ich cytowania itp.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Przedstawienie materiału oraz metodyki badawczej stosowanej w pracy dyplomowej/inżynierskiej. </w:t>
            </w:r>
          </w:p>
          <w:p w:rsidR="00B4693D" w:rsidRDefault="0072222B" w:rsidP="0072222B">
            <w:pPr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Samodzielna prezentacja przygotowanych prezentacji multimedialnych, prezentacja końcowej wersji pracy magisterskiej wraz z wnioskami.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307A63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71A" w:rsidRDefault="0054171A">
      <w:r>
        <w:separator/>
      </w:r>
    </w:p>
  </w:endnote>
  <w:endnote w:type="continuationSeparator" w:id="0">
    <w:p w:rsidR="0054171A" w:rsidRDefault="0054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307A6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38227A">
      <w:rPr>
        <w:noProof/>
      </w:rPr>
      <w:t>4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71A" w:rsidRDefault="0054171A">
      <w:r>
        <w:separator/>
      </w:r>
    </w:p>
  </w:footnote>
  <w:footnote w:type="continuationSeparator" w:id="0">
    <w:p w:rsidR="0054171A" w:rsidRDefault="0054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Pr="0038227A" w:rsidRDefault="0038227A" w:rsidP="0038227A">
    <w:pPr>
      <w:pStyle w:val="Nagwek"/>
    </w:pPr>
    <w:r>
      <w:rPr>
        <w:sz w:val="20"/>
        <w:szCs w:val="20"/>
      </w:rPr>
      <w:t xml:space="preserve">                                                                                        </w:t>
    </w:r>
    <w:r>
      <w:rPr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055A1A"/>
    <w:rsid w:val="001573A4"/>
    <w:rsid w:val="00157771"/>
    <w:rsid w:val="00307A63"/>
    <w:rsid w:val="0037354D"/>
    <w:rsid w:val="0038227A"/>
    <w:rsid w:val="0054171A"/>
    <w:rsid w:val="006E1AC7"/>
    <w:rsid w:val="0072222B"/>
    <w:rsid w:val="00854819"/>
    <w:rsid w:val="00AB093B"/>
    <w:rsid w:val="00B4693D"/>
    <w:rsid w:val="00C777D0"/>
    <w:rsid w:val="00D37A79"/>
    <w:rsid w:val="00FD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1194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user</cp:lastModifiedBy>
  <cp:revision>3</cp:revision>
  <cp:lastPrinted>2012-01-27T08:28:00Z</cp:lastPrinted>
  <dcterms:created xsi:type="dcterms:W3CDTF">2022-05-30T12:43:00Z</dcterms:created>
  <dcterms:modified xsi:type="dcterms:W3CDTF">2022-06-24T12:36:00Z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