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77208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17C">
              <w:rPr>
                <w:rFonts w:ascii="Arial" w:hAnsi="Arial" w:cs="Arial"/>
                <w:b/>
              </w:rPr>
              <w:t>Fizyczne podstawy techniki</w:t>
            </w:r>
          </w:p>
        </w:tc>
      </w:tr>
      <w:tr w:rsidR="001E0591" w:rsidRPr="00F930F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01640E" w:rsidRDefault="0077208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517C">
              <w:rPr>
                <w:rStyle w:val="jlqj4b"/>
                <w:rFonts w:ascii="Arial" w:hAnsi="Arial" w:cs="Arial"/>
                <w:lang w:val="en"/>
              </w:rPr>
              <w:t>The physical basis of the technique</w:t>
            </w:r>
          </w:p>
        </w:tc>
      </w:tr>
    </w:tbl>
    <w:p w:rsidR="001E0591" w:rsidRPr="0001640E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08F" w:rsidRDefault="0077208F" w:rsidP="0077208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77208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1640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930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 w:rsidP="00D47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K_U07, K_U08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 w:rsidP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  <w:r>
              <w:rPr>
                <w:rFonts w:ascii="Arial" w:hAnsi="Arial" w:cs="Arial"/>
                <w:sz w:val="20"/>
                <w:szCs w:val="20"/>
              </w:rPr>
              <w:t>, K_U08</w:t>
            </w: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930FD" w:rsidRDefault="00F930FD" w:rsidP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930FD" w:rsidRDefault="00F930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6B1D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6B1D05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D05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6B1D05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85C" w:rsidRDefault="006B1D05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E5744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1640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692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06927" w:rsidRDefault="00106927" w:rsidP="00106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6927" w:rsidRDefault="00106927" w:rsidP="0010692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0179C6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  <w:bookmarkStart w:id="0" w:name="_GoBack"/>
        <w:bookmarkEnd w:id="0"/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640E" w:rsidRPr="0001640E" w:rsidRDefault="0001640E" w:rsidP="000164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Korpuskularna natura światła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 w ujęciu kwantowym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01640E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01640E" w:rsidRPr="00E92551" w:rsidRDefault="0001640E" w:rsidP="0001640E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Teoria względności</w:t>
            </w:r>
          </w:p>
          <w:p w:rsidR="001E0591" w:rsidRPr="0001640E" w:rsidRDefault="001E0591" w:rsidP="000164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640E" w:rsidRPr="00D16718" w:rsidRDefault="0001640E" w:rsidP="0001640E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01640E" w:rsidRDefault="0001640E" w:rsidP="0001640E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-5; PWN Warszawa 2014</w:t>
            </w:r>
          </w:p>
          <w:p w:rsidR="00DF0B8D" w:rsidRPr="00554CC1" w:rsidRDefault="0001640E" w:rsidP="0001640E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640E" w:rsidRDefault="0001640E" w:rsidP="0001640E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. Tom 2, Tom 3;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1640E" w:rsidRPr="00110531" w:rsidRDefault="0001640E" w:rsidP="0001640E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053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zęść 2</w:t>
            </w:r>
            <w:r w:rsidRPr="00110531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01640E" w:rsidP="0001640E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>
              <w:rPr>
                <w:rFonts w:ascii="Arial" w:hAnsi="Arial" w:cs="Arial"/>
                <w:sz w:val="20"/>
                <w:szCs w:val="20"/>
              </w:rPr>
              <w:t>.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1640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1640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1640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1640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1640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687" w:rsidRDefault="00EA5687">
      <w:r>
        <w:separator/>
      </w:r>
    </w:p>
  </w:endnote>
  <w:endnote w:type="continuationSeparator" w:id="0">
    <w:p w:rsidR="00EA5687" w:rsidRDefault="00EA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06927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687" w:rsidRDefault="00EA5687">
      <w:r>
        <w:separator/>
      </w:r>
    </w:p>
  </w:footnote>
  <w:footnote w:type="continuationSeparator" w:id="0">
    <w:p w:rsidR="00EA5687" w:rsidRDefault="00EA5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1640E"/>
    <w:rsid w:val="000179C6"/>
    <w:rsid w:val="00030A74"/>
    <w:rsid w:val="00030B77"/>
    <w:rsid w:val="00031020"/>
    <w:rsid w:val="00040411"/>
    <w:rsid w:val="000B749C"/>
    <w:rsid w:val="00106927"/>
    <w:rsid w:val="0011427B"/>
    <w:rsid w:val="00135B8E"/>
    <w:rsid w:val="001705EE"/>
    <w:rsid w:val="00184D4A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50EA2"/>
    <w:rsid w:val="00361FB8"/>
    <w:rsid w:val="00407EBC"/>
    <w:rsid w:val="0043294F"/>
    <w:rsid w:val="00462E98"/>
    <w:rsid w:val="00466A0B"/>
    <w:rsid w:val="00496D7B"/>
    <w:rsid w:val="004B2D21"/>
    <w:rsid w:val="004B4551"/>
    <w:rsid w:val="00554CC1"/>
    <w:rsid w:val="00590EF7"/>
    <w:rsid w:val="005B44EA"/>
    <w:rsid w:val="005C7AE6"/>
    <w:rsid w:val="0061234A"/>
    <w:rsid w:val="006224F6"/>
    <w:rsid w:val="00697F54"/>
    <w:rsid w:val="006B1D05"/>
    <w:rsid w:val="007129FC"/>
    <w:rsid w:val="00723670"/>
    <w:rsid w:val="00735363"/>
    <w:rsid w:val="007472EB"/>
    <w:rsid w:val="00770441"/>
    <w:rsid w:val="0077208F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B3009"/>
    <w:rsid w:val="00CC5A3B"/>
    <w:rsid w:val="00CE21AF"/>
    <w:rsid w:val="00D16718"/>
    <w:rsid w:val="00D2173E"/>
    <w:rsid w:val="00D410E7"/>
    <w:rsid w:val="00D421B7"/>
    <w:rsid w:val="00D474C6"/>
    <w:rsid w:val="00D744C4"/>
    <w:rsid w:val="00DB119A"/>
    <w:rsid w:val="00DF0B8D"/>
    <w:rsid w:val="00E57441"/>
    <w:rsid w:val="00E913E2"/>
    <w:rsid w:val="00EA5687"/>
    <w:rsid w:val="00ED4DE6"/>
    <w:rsid w:val="00EE0E65"/>
    <w:rsid w:val="00F06734"/>
    <w:rsid w:val="00F11D16"/>
    <w:rsid w:val="00F55864"/>
    <w:rsid w:val="00F86E87"/>
    <w:rsid w:val="00F86EE8"/>
    <w:rsid w:val="00F930F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6A4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772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977C2-8577-40A5-A115-15587873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6</cp:revision>
  <cp:lastPrinted>2012-01-27T08:28:00Z</cp:lastPrinted>
  <dcterms:created xsi:type="dcterms:W3CDTF">2022-03-15T10:37:00Z</dcterms:created>
  <dcterms:modified xsi:type="dcterms:W3CDTF">2022-03-18T08:31:00Z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