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5EC" w:rsidRPr="00AC3523" w:rsidRDefault="003825EC" w:rsidP="003825EC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3825EC" w:rsidRDefault="003825EC" w:rsidP="003825EC">
      <w:pPr>
        <w:jc w:val="center"/>
      </w:pPr>
    </w:p>
    <w:p w:rsidR="003825EC" w:rsidRDefault="003825EC" w:rsidP="003825EC">
      <w:pPr>
        <w:jc w:val="center"/>
      </w:pPr>
    </w:p>
    <w:p w:rsidR="003825EC" w:rsidRDefault="003825EC" w:rsidP="003825EC">
      <w:pPr>
        <w:jc w:val="center"/>
      </w:pPr>
      <w:r>
        <w:t>KARTA KURSU (realizowanego w specjalności)</w:t>
      </w:r>
    </w:p>
    <w:p w:rsidR="003825EC" w:rsidRDefault="003825EC" w:rsidP="003825EC">
      <w:pPr>
        <w:jc w:val="center"/>
      </w:pPr>
      <w:r>
        <w:t>Bezpieczeństwo techniczne</w:t>
      </w:r>
    </w:p>
    <w:p w:rsidR="003825EC" w:rsidRDefault="003825EC" w:rsidP="003825EC">
      <w:pPr>
        <w:jc w:val="center"/>
      </w:pPr>
      <w:r>
        <w:t>(nazwa specjalności)</w:t>
      </w:r>
    </w:p>
    <w:p w:rsidR="003825EC" w:rsidRDefault="003825EC" w:rsidP="003825E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18"/>
          <w:szCs w:val="20"/>
          <w:lang w:eastAsia="pl-PL"/>
        </w:rPr>
      </w:pPr>
    </w:p>
    <w:p w:rsidR="003825EC" w:rsidRDefault="003825EC" w:rsidP="003825E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825EC" w:rsidTr="003825E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Awarie techniczne w przemyśle</w:t>
            </w:r>
          </w:p>
        </w:tc>
      </w:tr>
      <w:tr w:rsidR="003825EC" w:rsidTr="003825E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color w:val="353536"/>
                <w:sz w:val="18"/>
                <w:szCs w:val="20"/>
                <w:shd w:val="clear" w:color="auto" w:fill="EDEEF0"/>
              </w:rPr>
            </w:pPr>
            <w:r>
              <w:rPr>
                <w:rStyle w:val="word"/>
                <w:rFonts w:ascii="Arial" w:hAnsi="Arial" w:cs="Arial"/>
                <w:sz w:val="18"/>
                <w:szCs w:val="20"/>
              </w:rPr>
              <w:t xml:space="preserve">Technical </w:t>
            </w:r>
            <w:proofErr w:type="spellStart"/>
            <w:r>
              <w:rPr>
                <w:rStyle w:val="word"/>
                <w:rFonts w:ascii="Arial" w:hAnsi="Arial" w:cs="Arial"/>
                <w:sz w:val="18"/>
                <w:szCs w:val="20"/>
              </w:rPr>
              <w:t>failures</w:t>
            </w:r>
            <w:proofErr w:type="spellEnd"/>
            <w:r>
              <w:rPr>
                <w:rStyle w:val="word"/>
                <w:rFonts w:ascii="Arial" w:hAnsi="Arial" w:cs="Arial"/>
                <w:sz w:val="18"/>
                <w:szCs w:val="20"/>
              </w:rPr>
              <w:t xml:space="preserve"> in </w:t>
            </w:r>
            <w:proofErr w:type="spellStart"/>
            <w:r>
              <w:rPr>
                <w:rStyle w:val="word"/>
                <w:rFonts w:ascii="Arial" w:hAnsi="Arial" w:cs="Arial"/>
                <w:sz w:val="18"/>
                <w:szCs w:val="20"/>
              </w:rPr>
              <w:t>industry</w:t>
            </w:r>
            <w:proofErr w:type="spellEnd"/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825EC" w:rsidTr="003825E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3825EC" w:rsidTr="003825EC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</w:tc>
      </w:tr>
      <w:tr w:rsidR="003825EC" w:rsidTr="003825E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825EC" w:rsidTr="003825E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825EC" w:rsidRDefault="003825EC" w:rsidP="003825E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3825EC" w:rsidRDefault="003825EC" w:rsidP="003825E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Celem kształcenia w zakresie kursu jest zapoznanie Studentów z przypadkami awarii technicznych mogących wystąpić w przemyśle oraz konsekwencjami z punktu widzenia technicznego, które mogą z nich wynikać. Student posiada wiedze praktyczną pozwalającą w sposób rzetelny zapobiegać awariom,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a jeśli już do nich dojdzie będzie potrafił ocenić realne zagrożenie i przedsięwziąć odpowiednie kroki w celu minimalizacji ich skutków. Student zdobędzie umiejętności opracowywania profesjonalnego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”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w zakresie awarii technicznych w różnych gałęziach gospodarki m.in. energetyce, przemyśle petrochemicznym, maszynowym, elektrycznym i elektronicznym itp. 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A412AB" w:rsidRPr="00C76DE0" w:rsidRDefault="00A412AB" w:rsidP="00A412A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A412AB" w:rsidRPr="00C76DE0" w:rsidRDefault="00A412AB" w:rsidP="00A412A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412AB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A412AB" w:rsidRPr="00C76DE0" w:rsidRDefault="009A0093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A412AB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A412AB" w:rsidRPr="00C76DE0" w:rsidRDefault="009A0093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A412AB" w:rsidRPr="00C76DE0" w:rsidTr="00064740">
        <w:tc>
          <w:tcPr>
            <w:tcW w:w="1941" w:type="dxa"/>
            <w:shd w:val="clear" w:color="auto" w:fill="DBE5F1"/>
            <w:vAlign w:val="center"/>
          </w:tcPr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A412AB" w:rsidRPr="00C76DE0" w:rsidRDefault="009A0093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A412AB" w:rsidRPr="00C76DE0" w:rsidRDefault="00A412AB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A412AB" w:rsidRDefault="00A412AB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A412AB" w:rsidRDefault="00A412AB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6"/>
        <w:gridCol w:w="4925"/>
        <w:gridCol w:w="41"/>
        <w:gridCol w:w="2254"/>
      </w:tblGrid>
      <w:tr w:rsidR="003825EC" w:rsidTr="003825E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825EC" w:rsidTr="003825E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najważniejsze pojęcia i terminy stosowane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przepisach oraz dokumentach dotyczących awarii technicznych w przemyśle,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W02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strukturę i chronologię jaka obowiązuje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w metodzie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”,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W03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wiedzę dotyczącą przypadków awarii technicznych m.in. w przemyśle energetycznym, petrochemicznym.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W02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W03</w:t>
            </w:r>
          </w:p>
        </w:tc>
      </w:tr>
      <w:tr w:rsidR="003825EC" w:rsidTr="003825EC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825EC" w:rsidTr="003825EC">
        <w:trPr>
          <w:cantSplit/>
          <w:trHeight w:val="168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wyjaśnić znaczenie pojęć i terminów obowiązujących w przepisach i/lub dokumentacji, która jest stosowana w przypadku awarii technicznych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przemyśle,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opracować profesjonalne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” dla wybranego zagadnienia dotyczącego awarii technicznych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przemyśle,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U03 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na podstawie przeprowadzonego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” wysunąć wnioski, które będą zapobiegać w przyszłości podobnym sytuacją.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U04</w:t>
            </w:r>
          </w:p>
        </w:tc>
      </w:tr>
      <w:tr w:rsidR="003825EC" w:rsidTr="003825EC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825EC" w:rsidTr="003825EC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sformułować i wyrazić w formie pisemnej i/lub ustnej opinie dotyczące zagrożeń, które mogą wynikać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 zaistniałej awarii w technice, </w:t>
            </w:r>
          </w:p>
          <w:p w:rsidR="003825EC" w:rsidRDefault="003825E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przewidzieć zarówno skutki społeczne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środowiskowe zaistniałej awarii w technice,</w:t>
            </w:r>
          </w:p>
          <w:p w:rsidR="003825EC" w:rsidRDefault="003825E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K03 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zastosować </w:t>
            </w:r>
            <w:r>
              <w:rPr>
                <w:rFonts w:ascii="Arial" w:hAnsi="Arial" w:cs="Arial"/>
                <w:sz w:val="18"/>
                <w:szCs w:val="20"/>
              </w:rPr>
              <w:t>zdobytą wiedzę i doświadczenie w komercyjnych rozwiązaniach.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3825EC" w:rsidRDefault="003825E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K05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825EC" w:rsidTr="003825E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3825EC" w:rsidTr="003825E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3825EC" w:rsidTr="003825E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825EC" w:rsidTr="003825E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0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prowadzone są w formie konwersatorium. G</w:t>
            </w:r>
            <w:r>
              <w:rPr>
                <w:rFonts w:ascii="Arial" w:hAnsi="Arial" w:cs="Arial"/>
                <w:color w:val="FF0000"/>
                <w:sz w:val="18"/>
                <w:szCs w:val="20"/>
              </w:rPr>
              <w:t>ł</w:t>
            </w:r>
            <w:r>
              <w:rPr>
                <w:rFonts w:ascii="Arial" w:hAnsi="Arial" w:cs="Arial"/>
                <w:sz w:val="18"/>
                <w:szCs w:val="20"/>
              </w:rPr>
              <w:t xml:space="preserve">ówny aspekt dotyczy praktycznych zagadnień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 obszaru awarii technicznych w przemyśle. Każdy z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” obejmuje inny obszar gospodarki. Podczas zaj</w:t>
            </w:r>
            <w:r>
              <w:rPr>
                <w:rFonts w:ascii="Arial" w:hAnsi="Arial" w:cs="Arial"/>
                <w:color w:val="FF0000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 xml:space="preserve">ć analizowane są zarówno przyczyny jak i skutki awarii. Student podczas zajęć ma możliwość pracy zarówno indywidulanej jak i grupowej co jest niewątpliwie istotną kwestią we współczesny świecie. </w:t>
            </w:r>
          </w:p>
          <w:p w:rsidR="003825EC" w:rsidRDefault="003825EC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3825EC" w:rsidTr="003825E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3825EC" w:rsidTr="003825E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bookmarkStart w:id="0" w:name="_GoBack" w:colFirst="6" w:colLast="8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3825EC" w:rsidTr="003825E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825EC" w:rsidRPr="009A0093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9A0093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825EC" w:rsidRPr="00727DF0" w:rsidRDefault="003825E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bookmarkEnd w:id="0"/>
    </w:tbl>
    <w:p w:rsidR="003825EC" w:rsidRDefault="003825EC" w:rsidP="003825E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825EC" w:rsidTr="003825E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3825EC" w:rsidRDefault="003825EC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Według regulaminu studiów zatwierdzonego przez Uniwersytet Pedagogicznym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 xml:space="preserve">im. KEN w Krakowie. W przypadku konwersatorium Student zobowiązany jest zrealizować i zaliczyć wszystkie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” przewidziane w kursie praktycznym.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825EC" w:rsidTr="003825E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3825EC" w:rsidRDefault="003825E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 xml:space="preserve">W przypadku nieobecności na konwersatorium Student jest zobowiązany do ich odrobienia w terminie ustalonym przez Prowadzącego. Brak zaliczenia „Case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study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” skutkuje niezaliczeniem konwersatorium.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 xml:space="preserve">Tematyka „Case </w:t>
            </w:r>
            <w:proofErr w:type="spellStart"/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”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„Case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study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” obejmuje na zajęciach tematykę z następujących obszarów gospodarki: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 Przemysł energetyczny z podziałem na energetykę konwencjonalną, jądrową i źródła odnawialne</w:t>
            </w:r>
            <w:r>
              <w:rPr>
                <w:rFonts w:ascii="Arial" w:hAnsi="Arial" w:cs="Arial"/>
                <w:strike/>
                <w:color w:val="FF0000"/>
                <w:sz w:val="18"/>
                <w:szCs w:val="20"/>
                <w:lang w:eastAsia="en-US"/>
              </w:rPr>
              <w:t>,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color w:val="FF0000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 Przemył petrochemiczny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 Przemysł budowlany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 Przemysł chemiczny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 Przemysł maszynowy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6 Przemysł elektryczny i elektroniczny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7 Przemysł informatyczny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8 Przemył motoryzacyjny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9 Przemysł spożywczy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 Przemył farmaceutyczny</w:t>
            </w: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3825EC" w:rsidRDefault="003825EC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Każdy z obszarów podlega szczegółowej analizie, w której zwracane są uwagi na potencjalne zagrożenia w związku z możliwymi awariami. 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val="en-GB"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 xml:space="preserve">1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Gerring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, Case Study Research Principles and Practices, Cambridge University Press 2007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2 R. K.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Yin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Studium przypadku w badaniach naukowych, Wydawnictwo Uniwersytetu Jagiellońskiego, Kraków 2015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3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I, 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wyd. Biuro Gamma, Warszawa 1998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4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II, wyd. Biuro Gamma, Warszawa 1999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5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Żóltowski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Wybrane zagadnienia z podstaw konstrukcji i niezawodności maszyn, Oficyna Wydawnicza Politechniki Warszawskiej, Warszawa 2004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i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6 Ustawa z dnia 23 lipca 2015 </w:t>
            </w:r>
            <w:r>
              <w:rPr>
                <w:rStyle w:val="Uwydatnienie"/>
                <w:rFonts w:ascii="Arial" w:hAnsi="Arial" w:cs="Arial"/>
                <w:i w:val="0"/>
                <w:color w:val="000000"/>
                <w:sz w:val="18"/>
                <w:szCs w:val="20"/>
              </w:rPr>
              <w:t>o zmianie ustawy – Prawo ochrony środowiska oraz niektórych innych ustaw</w:t>
            </w:r>
            <w:r>
              <w:rPr>
                <w:rFonts w:ascii="Arial" w:hAnsi="Arial" w:cs="Arial"/>
                <w:i/>
                <w:color w:val="000000"/>
                <w:sz w:val="18"/>
                <w:szCs w:val="20"/>
              </w:rPr>
              <w:t>, Dz.U. poz. 1434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7 Komisja Europejska. Sprawozdanie komisji. Sprawozdanie dotyczące stosowania w państwach członkowskich dyrektywy 96/82/WE w sprawie kontroli niebezpieczeństwa poważnych awarii związanych |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br/>
              <w:t>z substancjami niebezpiecznymi za okres 2009 - 2011. </w:t>
            </w:r>
            <w:hyperlink r:id="rId4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http://ec.europa.eu/environment/seveso/pdf/reports/2009_11/1_PL_ACT_part1_v2.pdf</w:t>
              </w:r>
            </w:hyperlink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8 Member States country reports on the implementation of Seveso II. </w:t>
            </w:r>
            <w:hyperlink r:id="rId5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http://ec.europa.eu/environment/seveso/implementation.htm</w:t>
              </w:r>
            </w:hyperlink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9 Dyrektywa Rady 96/82/WE z dnia 9 grudnia 1996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 sprawie kontroli niebezpieczeństwa poważnych awarii związanych z substancjami niebezpiecznymi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[</w:t>
            </w:r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Dyrektywa </w:t>
            </w:r>
            <w:proofErr w:type="spellStart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>Seveso</w:t>
            </w:r>
            <w:proofErr w:type="spellEnd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 II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]. Dz. Urz. WEL 10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br/>
              <w:t>z 14.01.1997 s. 1-68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. 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Polskie Wyd. Specjalne: rozdz. 05, t. 02, s. 410-430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tekst jedn.: </w:t>
            </w:r>
            <w:hyperlink r:id="rId6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http://www.ciop.pl/</w:t>
              </w:r>
            </w:hyperlink>
            <w:r>
              <w:rPr>
                <w:rFonts w:ascii="Arial" w:hAnsi="Arial" w:cs="Arial"/>
                <w:color w:val="000000"/>
                <w:sz w:val="18"/>
                <w:szCs w:val="20"/>
              </w:rPr>
              <w:t>.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9 Dyrektywa Parlamentu Europejskiego i Rady 2003/105/WE z dnia 16 grudnia 2003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zmieniająca Dyrektywę Rady 96/82/WE w sprawie kontroli niebezpieczeństwa poważnych awarii związanych z substancjami niebezpiecznymi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Dz.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Urz.WE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 345 z 31.12.2003, s. 97-105</w:t>
            </w:r>
            <w:r>
              <w:rPr>
                <w:rStyle w:val="Pogrubienie"/>
                <w:rFonts w:ascii="Arial" w:hAnsi="Arial" w:cs="Arial"/>
                <w:color w:val="000000"/>
                <w:sz w:val="18"/>
                <w:szCs w:val="20"/>
              </w:rPr>
              <w:t>. 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Polskie Wyd. Specjalne: rozdz. 05, t. 04, s. 398-406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10 Dyrektywa Parlamentu Europejskiego i Rady 2012/18/UE z dnia 4 lipca 2012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 sprawie kontroli zagrożeń poważnymi awariami związanymi z substancjami niebezpiecznymi, zmieniająca, a następnie uchylająca dyrektywę Rady 96/82/WE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[</w:t>
            </w:r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Dyrektywa </w:t>
            </w:r>
            <w:proofErr w:type="spellStart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>Seveso</w:t>
            </w:r>
            <w:proofErr w:type="spellEnd"/>
            <w:r>
              <w:rPr>
                <w:rStyle w:val="Uwydatnienie"/>
                <w:rFonts w:ascii="Arial" w:hAnsi="Arial" w:cs="Arial"/>
                <w:bCs/>
                <w:i w:val="0"/>
                <w:color w:val="000000"/>
                <w:sz w:val="18"/>
                <w:szCs w:val="20"/>
              </w:rPr>
              <w:t xml:space="preserve"> III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]. Dz. Urz. UE L 197 z 24.07.2012, s. 1-37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11 Decyzja Wykonawcza Komisji 2014/896/UE z dnia 10 grudnia 2014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 xml:space="preserve">ustanawiająca format przekazywania informacji od państw członkowskich na temat wdrażania dyrektywy Parlamentu Europejskiego i Rady 2012/18/UE w sprawie kontroli zagrożeń poważnymi awariami związanymi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20"/>
              </w:rPr>
              <w:br/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z substancjami niebezpiecznymi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Dz.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Urz.WE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 355 z 12.12.2014 s. 55 - 58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12 Rozporządzenie Ministra Gospodarki z dnia 10 października 2013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 sprawie rodzajów i ilości substancji niebezpiecznych, których znajdowanie się w zakładzie decyduje o zaliczeniu go do zakładu o zwiększonym ryzyku albo zakładu o dużym ryzyku wystąpienia poważnej awarii przemysłowej. 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Dz.U. poz. 1479</w:t>
            </w:r>
          </w:p>
          <w:p w:rsidR="003825EC" w:rsidRDefault="003825E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13 Rozporządzenie Ministra Środowiska z dnia 30 grudnia 2002 r. </w:t>
            </w:r>
            <w:r>
              <w:rPr>
                <w:rStyle w:val="Uwydatnienie"/>
                <w:rFonts w:ascii="Arial" w:hAnsi="Arial" w:cs="Arial"/>
                <w:color w:val="000000"/>
                <w:sz w:val="18"/>
                <w:szCs w:val="20"/>
              </w:rPr>
              <w:t>w sprawie poważnych awarii objętych obowiązkiem zgłoszenia do Głównego Inspektora Ochrony Środowiska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. Dz.U. z 2003 r. nr 5, poz. 58</w:t>
            </w:r>
          </w:p>
          <w:p w:rsidR="003825EC" w:rsidRDefault="003825E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14 Rozporządzenie Ministra Środowiska z dnia 18 maja 2016 r. zmieniające rozporządzenie w sprawie poważnych awarii objętych obowiązkiem zgłoszenia do Głównego Inspektora Ochrony Środowiska. Dz.U. poz. 799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825EC" w:rsidTr="003825EC">
        <w:trPr>
          <w:trHeight w:val="148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1 Vademecum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bezpieczęństwa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pod redakcją O.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Wasiuta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R. Klepka, R. Kopeć, </w:t>
            </w:r>
            <w:r>
              <w:rPr>
                <w:rFonts w:ascii="Arial" w:hAnsi="Arial" w:cs="Arial"/>
                <w:sz w:val="18"/>
                <w:szCs w:val="20"/>
              </w:rPr>
              <w:t xml:space="preserve">Wydawnictwo LIBRON – Filip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Lohner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Kraków 2018</w:t>
            </w:r>
          </w:p>
          <w:p w:rsidR="003825EC" w:rsidRDefault="003825EC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 W. Łabanowski, Użytkowanie maszyn - minimalne wymagania dotyczące bhp, Państwo Inspekcja Pracy, Warszawa 2018</w:t>
            </w:r>
          </w:p>
          <w:p w:rsidR="003825EC" w:rsidRDefault="003825E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3 S. Borkowski,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Selejdak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Sz. Salamon, Efektywność eksploatacji maszyn i urządzeń, Wydawnictwo Wydziału Zarzadzania, Częstochowa 2006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3825EC" w:rsidTr="003825E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825EC" w:rsidRDefault="003825EC">
            <w:pPr>
              <w:suppressAutoHyphens/>
              <w:spacing w:after="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825EC" w:rsidTr="003825E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3825EC" w:rsidTr="003825E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</w:t>
            </w:r>
          </w:p>
        </w:tc>
      </w:tr>
      <w:tr w:rsidR="003825EC" w:rsidTr="003825E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</w:t>
            </w:r>
          </w:p>
        </w:tc>
      </w:tr>
      <w:tr w:rsidR="003825EC" w:rsidTr="003825E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4</w:t>
            </w:r>
          </w:p>
        </w:tc>
      </w:tr>
      <w:tr w:rsidR="003825EC" w:rsidTr="003825E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5</w:t>
            </w:r>
          </w:p>
        </w:tc>
      </w:tr>
      <w:tr w:rsidR="003825EC" w:rsidTr="003825EC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825EC" w:rsidTr="003825E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3825EC" w:rsidTr="003825E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825EC" w:rsidRDefault="003825EC">
            <w:pPr>
              <w:suppressAutoHyphens/>
              <w:spacing w:after="0"/>
              <w:ind w:left="3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1</w:t>
            </w:r>
          </w:p>
        </w:tc>
      </w:tr>
    </w:tbl>
    <w:p w:rsidR="003825EC" w:rsidRDefault="003825EC" w:rsidP="003825E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825EC" w:rsidRDefault="003825EC" w:rsidP="003825EC">
      <w:pPr>
        <w:rPr>
          <w:sz w:val="22"/>
        </w:rPr>
      </w:pPr>
    </w:p>
    <w:p w:rsidR="00156AB0" w:rsidRPr="003825EC" w:rsidRDefault="00156AB0">
      <w:pPr>
        <w:rPr>
          <w:sz w:val="22"/>
          <w:szCs w:val="24"/>
        </w:rPr>
      </w:pPr>
    </w:p>
    <w:sectPr w:rsidR="00156AB0" w:rsidRPr="00382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557"/>
    <w:rsid w:val="00156AB0"/>
    <w:rsid w:val="002B592C"/>
    <w:rsid w:val="003825EC"/>
    <w:rsid w:val="0069037D"/>
    <w:rsid w:val="00727DF0"/>
    <w:rsid w:val="009A0093"/>
    <w:rsid w:val="00A412AB"/>
    <w:rsid w:val="00B25BB1"/>
    <w:rsid w:val="00C22557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7B81"/>
  <w15:chartTrackingRefBased/>
  <w15:docId w15:val="{0F7A9DDC-B7FC-4944-8461-84393F23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5E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25E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3825EC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3825EC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3825E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825E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3825E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3825E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ord">
    <w:name w:val="word"/>
    <w:rsid w:val="003825EC"/>
  </w:style>
  <w:style w:type="character" w:styleId="Uwydatnienie">
    <w:name w:val="Emphasis"/>
    <w:basedOn w:val="Domylnaczcionkaakapitu"/>
    <w:uiPriority w:val="20"/>
    <w:qFormat/>
    <w:rsid w:val="003825EC"/>
    <w:rPr>
      <w:i/>
      <w:iCs/>
    </w:rPr>
  </w:style>
  <w:style w:type="character" w:styleId="Pogrubienie">
    <w:name w:val="Strong"/>
    <w:basedOn w:val="Domylnaczcionkaakapitu"/>
    <w:uiPriority w:val="22"/>
    <w:qFormat/>
    <w:rsid w:val="003825EC"/>
    <w:rPr>
      <w:b/>
      <w:bCs/>
    </w:rPr>
  </w:style>
  <w:style w:type="paragraph" w:customStyle="1" w:styleId="Standard">
    <w:name w:val="Standard"/>
    <w:rsid w:val="003825EC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op.pl/" TargetMode="External"/><Relationship Id="rId5" Type="http://schemas.openxmlformats.org/officeDocument/2006/relationships/hyperlink" Target="http://ec.europa.eu/environment/seveso/implementation.htm" TargetMode="External"/><Relationship Id="rId4" Type="http://schemas.openxmlformats.org/officeDocument/2006/relationships/hyperlink" Target="http://ec.europa.eu/environment/seveso/pdf/reports/2009_11/1_PL_ACT_part1_v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1301</Words>
  <Characters>7810</Characters>
  <Application>Microsoft Office Word</Application>
  <DocSecurity>0</DocSecurity>
  <Lines>65</Lines>
  <Paragraphs>18</Paragraphs>
  <ScaleCrop>false</ScaleCrop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2022-02-21T15:25:00Z</dcterms:created>
  <dcterms:modified xsi:type="dcterms:W3CDTF">2022-03-09T13:43:00Z</dcterms:modified>
</cp:coreProperties>
</file>