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Podstawy prawa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Introduction</w:t>
            </w:r>
            <w:proofErr w:type="spellEnd"/>
            <w:r>
              <w:rPr>
                <w:sz w:val="22"/>
                <w:szCs w:val="22"/>
              </w:rPr>
              <w:t xml:space="preserve"> to Law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F4D23" w:rsidP="007007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 xml:space="preserve">Dr </w:t>
            </w:r>
            <w:r w:rsidR="007007AA">
              <w:rPr>
                <w:sz w:val="22"/>
                <w:szCs w:val="22"/>
              </w:rPr>
              <w:t xml:space="preserve">Bogumił </w:t>
            </w:r>
            <w:proofErr w:type="spellStart"/>
            <w:r w:rsidR="007007AA">
              <w:rPr>
                <w:sz w:val="22"/>
                <w:szCs w:val="22"/>
              </w:rPr>
              <w:t>Naleziński</w:t>
            </w:r>
            <w:proofErr w:type="spellEnd"/>
            <w:r w:rsidR="007007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BF4D23" w:rsidP="007007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 xml:space="preserve">Dr </w:t>
            </w:r>
            <w:r w:rsidR="007007AA">
              <w:rPr>
                <w:sz w:val="22"/>
                <w:szCs w:val="22"/>
              </w:rPr>
              <w:t xml:space="preserve">Bogumił </w:t>
            </w:r>
            <w:proofErr w:type="spellStart"/>
            <w:r w:rsidR="007007AA">
              <w:rPr>
                <w:sz w:val="22"/>
                <w:szCs w:val="22"/>
              </w:rPr>
              <w:t>Naleziński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F4D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BF4D23" w:rsidRPr="00BF4D23" w:rsidRDefault="00BF4D23" w:rsidP="00BF4D23">
            <w:r w:rsidRPr="00BF4D23">
              <w:rPr>
                <w:sz w:val="22"/>
                <w:szCs w:val="22"/>
              </w:rPr>
              <w:t>Celem kursu jest: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Przedstawienie podstawowych zagadnień prawoznawstwa.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Prezentacja istoty prawa konstytucyjnego, prawa karnego, prawa cywilnego, prawa administracyjnego, prawa europejskiego i prawa międzynarodowego i ich wpływu na kierunki zmian legislacyjnych oraz kształt obowiązujących przepisów.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 xml:space="preserve">Umiejętne posługiwanie się językiem prawnym i językiem prawniczym podczas interpretacji przepisów prawa. 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wiedzy z zakresu zasad i instytucji prawa konstytucyjnego, prawa karnego, prawa cywilnego, prawa administracyjnego, prawa europejskiego i prawa międzynarodowego oraz ich praktycznego zastosowania.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Prawidłowe stosowanie terminologii prawniczej</w:t>
            </w:r>
          </w:p>
          <w:p w:rsidR="00303F50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podstawowej wiedzy na temat wymiaru sprawiedliwości w sprawach karnych, cywilnych, administracyjnych, europejskich i międzynarodowych.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296280">
              <w:rPr>
                <w:sz w:val="22"/>
                <w:szCs w:val="22"/>
              </w:rPr>
              <w:t>Student posiada wiedzę z zakresu wiedzy o społeczeńst</w:t>
            </w:r>
            <w:r>
              <w:rPr>
                <w:sz w:val="22"/>
                <w:szCs w:val="22"/>
              </w:rPr>
              <w:t>wie na poziomie szkoły ponadpodstawowej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F4D2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4D23" w:rsidRPr="00782EDC" w:rsidRDefault="00BF4D23" w:rsidP="00BF4D23">
            <w:pPr>
              <w:autoSpaceDE/>
            </w:pPr>
            <w:r>
              <w:rPr>
                <w:sz w:val="22"/>
                <w:szCs w:val="22"/>
              </w:rPr>
              <w:t xml:space="preserve">Student posiada </w:t>
            </w:r>
            <w:r w:rsidRPr="00782EDC">
              <w:rPr>
                <w:sz w:val="22"/>
                <w:szCs w:val="22"/>
              </w:rPr>
              <w:t>umiej</w:t>
            </w:r>
            <w:r>
              <w:rPr>
                <w:sz w:val="22"/>
                <w:szCs w:val="22"/>
              </w:rPr>
              <w:t>ętność logicznej analizy tekstu</w:t>
            </w:r>
          </w:p>
        </w:tc>
      </w:tr>
      <w:tr w:rsidR="00BF4D23"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F4D23" w:rsidRDefault="00BF4D23" w:rsidP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W01. Zna rolę i znaczenie prawoznawstwa, w szczególności prawa konstytucyjnego, prawa karnego, prawa cywilnego, prawa administracyjnego, prawa europejskiego, prawa międzynarodowego w stosunkach społeczno-gospodarczych.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W02. Posiada wiedzę z zakresu propedeutyki prawa, w tym o zasadach i technikach redakcyjnych przepisów prawa oraz regułach ich wykładni.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BF4D23" w:rsidP="00BF4D23">
            <w:pPr>
              <w:rPr>
                <w:rFonts w:ascii="Arial" w:hAnsi="Arial" w:cs="Arial"/>
                <w:sz w:val="20"/>
                <w:szCs w:val="20"/>
              </w:rPr>
            </w:pPr>
            <w:r w:rsidRPr="00BF4D23">
              <w:rPr>
                <w:sz w:val="22"/>
                <w:szCs w:val="22"/>
              </w:rPr>
              <w:t>W03. Posiada wiedzę z zakresu podstawowych instytucji prawa konstytucyjnego, prawa karnego, prawa cywilnego, prawa administracyjnego, prawa europejskiego, prawa międzynarodowego i zakresu ich stosowania w praktyce.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03F50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U01. Potrafi określić istotę, funkcje i miejsce prawa konstytucyjnego, prawa karnego, prawa cywilnego, prawa administracyjnego, prawa europejskiego i prawa międzynarodowego w systemie prawnym jak również relacje pomiędzy nimi w szczególności w zakresie reakcji na działania sprzeczne z prawem. 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U02. Posiada umiejętność wykorzystania poznanych metod analizy i interpretacji przepisów prawa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U03</w:t>
            </w:r>
            <w:r w:rsidR="00BF4D23" w:rsidRPr="00BF4D23">
              <w:rPr>
                <w:sz w:val="22"/>
                <w:szCs w:val="22"/>
              </w:rPr>
              <w:t>. Posiada umiejętność analizy i kreatywnego rozwiązywania konkretnych problemów pojawiających na gruncie stosowania przepisów prawa karnego, prawa cywilnego, prawa administracyjnego, prawa europejskiego i prawa międzynarodowego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AB084B" w:rsidP="00BF4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  <w:r w:rsidR="00BF4D23" w:rsidRPr="00BF4D23">
              <w:rPr>
                <w:sz w:val="22"/>
                <w:szCs w:val="22"/>
              </w:rPr>
              <w:t xml:space="preserve">. Ma świadomość granic ingerencji prawa karnego, prawa cywilnego, prawa administracyjnego, prawa europejskiego i prawa międzynarodowego w funkcjonowanie jednostki i społeczeństwa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K02</w:t>
            </w:r>
            <w:r w:rsidR="00BF4D23" w:rsidRPr="00BF4D23">
              <w:rPr>
                <w:sz w:val="22"/>
                <w:szCs w:val="22"/>
              </w:rPr>
              <w:t>. Rozumie potrzebę właściwego stosowania instytucji prawa karnego, prawa cywilnego, prawa administracyjnego, prawa europejskiego i prawa międzynarodowego oraz konsekwencji ich stosowania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1122A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F4D23">
        <w:trPr>
          <w:trHeight w:val="1099"/>
        </w:trPr>
        <w:tc>
          <w:tcPr>
            <w:tcW w:w="9622" w:type="dxa"/>
          </w:tcPr>
          <w:p w:rsidR="00BF4D23" w:rsidRPr="00BF4D23" w:rsidRDefault="00BF4D23" w:rsidP="00BF4D23">
            <w:pPr>
              <w:suppressLineNumbers/>
            </w:pPr>
            <w:r>
              <w:rPr>
                <w:sz w:val="22"/>
                <w:szCs w:val="22"/>
              </w:rPr>
              <w:t>1</w:t>
            </w:r>
            <w:r w:rsidRPr="00BF4D23">
              <w:rPr>
                <w:sz w:val="22"/>
                <w:szCs w:val="22"/>
              </w:rPr>
              <w:t>) Wykład obowiązkowy w formie zdalnej</w:t>
            </w:r>
          </w:p>
          <w:p w:rsidR="00BF4D23" w:rsidRPr="00BF4D23" w:rsidRDefault="00BF4D23" w:rsidP="00BF4D23">
            <w:pPr>
              <w:suppressLineNumbers/>
            </w:pPr>
            <w:r w:rsidRPr="00BF4D23">
              <w:rPr>
                <w:sz w:val="22"/>
                <w:szCs w:val="22"/>
              </w:rPr>
              <w:t xml:space="preserve">- o charakterze zarówno informacyjnym jak również problemowym (analiza przepisów prawa oraz orzeczeń w sprawach karnych, przykłady z praktyki </w:t>
            </w:r>
            <w:proofErr w:type="spellStart"/>
            <w:r w:rsidRPr="00BF4D23">
              <w:rPr>
                <w:sz w:val="22"/>
                <w:szCs w:val="22"/>
              </w:rPr>
              <w:t>karnistycznej</w:t>
            </w:r>
            <w:proofErr w:type="spellEnd"/>
            <w:r w:rsidRPr="00BF4D23">
              <w:rPr>
                <w:sz w:val="22"/>
                <w:szCs w:val="22"/>
              </w:rPr>
              <w:t>).</w:t>
            </w:r>
          </w:p>
          <w:p w:rsidR="00303F50" w:rsidRDefault="00BF4D23" w:rsidP="00BF4D2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F4D23">
              <w:rPr>
                <w:sz w:val="22"/>
                <w:szCs w:val="22"/>
              </w:rPr>
              <w:t>- stosowanie prezentacji multimedialnej z elementami konwersatorium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BF4D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9"/>
        <w:gridCol w:w="7699"/>
      </w:tblGrid>
      <w:tr w:rsidR="00303F50" w:rsidTr="00960656">
        <w:trPr>
          <w:trHeight w:val="47"/>
        </w:trPr>
        <w:tc>
          <w:tcPr>
            <w:tcW w:w="1799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960656" w:rsidRDefault="00303F50" w:rsidP="00960656">
            <w:pPr>
              <w:spacing w:before="57" w:after="57"/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60656" w:rsidRPr="00960656">
              <w:rPr>
                <w:sz w:val="22"/>
                <w:szCs w:val="22"/>
              </w:rPr>
              <w:t xml:space="preserve">Zaliczenie przedmiotu odbywa się w formie zdalnej na podstawie obecności na zdalnym wykładzie, udziału w dyskusjach oraz zdaniu zdalnego kolokwium zaliczeniowego: </w:t>
            </w:r>
            <w:r w:rsidR="00960656">
              <w:rPr>
                <w:sz w:val="22"/>
                <w:szCs w:val="22"/>
              </w:rPr>
              <w:t>test jednokrotnego</w:t>
            </w:r>
            <w:r w:rsidR="00960656" w:rsidRPr="00960656">
              <w:rPr>
                <w:sz w:val="22"/>
                <w:szCs w:val="22"/>
              </w:rPr>
              <w:t xml:space="preserve"> wyboru (test pytań zamkniętych) składający się z 15 pytań; za każdą prawidłową odpowiedź uzyskuje się 1 pkt, za błędną odpowiedź lub brak odpowiedzi – 0 pkt. </w:t>
            </w:r>
          </w:p>
          <w:p w:rsidR="00960656" w:rsidRDefault="00960656" w:rsidP="00960656">
            <w:pPr>
              <w:rPr>
                <w:sz w:val="22"/>
                <w:szCs w:val="22"/>
              </w:rPr>
            </w:pP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Skala oceny:</w:t>
            </w:r>
          </w:p>
          <w:p w:rsidR="00960656" w:rsidRPr="00960656" w:rsidRDefault="00960656" w:rsidP="00960656">
            <w:pPr>
              <w:suppressLineNumbers/>
              <w:spacing w:before="57" w:after="57"/>
            </w:pPr>
            <w:r w:rsidRPr="00960656">
              <w:rPr>
                <w:sz w:val="22"/>
                <w:szCs w:val="22"/>
              </w:rPr>
              <w:t>7 i mniej – niedostateczny (</w:t>
            </w:r>
            <w:proofErr w:type="spellStart"/>
            <w:r w:rsidRPr="00960656">
              <w:rPr>
                <w:sz w:val="22"/>
                <w:szCs w:val="22"/>
              </w:rPr>
              <w:t>ndst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8-9 pkt – dostateczny (</w:t>
            </w:r>
            <w:proofErr w:type="spellStart"/>
            <w:r w:rsidRPr="00960656">
              <w:rPr>
                <w:sz w:val="22"/>
                <w:szCs w:val="22"/>
              </w:rPr>
              <w:t>dst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10 pkt – dostateczny plus (</w:t>
            </w:r>
            <w:proofErr w:type="spellStart"/>
            <w:r w:rsidRPr="00960656">
              <w:rPr>
                <w:sz w:val="22"/>
                <w:szCs w:val="22"/>
              </w:rPr>
              <w:t>dst</w:t>
            </w:r>
            <w:proofErr w:type="spellEnd"/>
            <w:r w:rsidRPr="00960656">
              <w:rPr>
                <w:sz w:val="22"/>
                <w:szCs w:val="22"/>
              </w:rPr>
              <w:t xml:space="preserve"> +)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11-12 pkt – dobry (</w:t>
            </w:r>
            <w:proofErr w:type="spellStart"/>
            <w:r w:rsidRPr="00960656">
              <w:rPr>
                <w:sz w:val="22"/>
                <w:szCs w:val="22"/>
              </w:rPr>
              <w:t>db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13 pkt – dobry plus (</w:t>
            </w:r>
            <w:proofErr w:type="spellStart"/>
            <w:r w:rsidRPr="00960656">
              <w:rPr>
                <w:sz w:val="22"/>
                <w:szCs w:val="22"/>
              </w:rPr>
              <w:t>db</w:t>
            </w:r>
            <w:proofErr w:type="spellEnd"/>
            <w:r w:rsidRPr="00960656">
              <w:rPr>
                <w:sz w:val="22"/>
                <w:szCs w:val="22"/>
              </w:rPr>
              <w:t>+)</w:t>
            </w:r>
          </w:p>
          <w:p w:rsidR="00303F50" w:rsidRDefault="00960656" w:rsidP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960656">
              <w:rPr>
                <w:sz w:val="22"/>
                <w:szCs w:val="22"/>
              </w:rPr>
              <w:t>14-15 pkt – bardzo dobry (</w:t>
            </w:r>
            <w:proofErr w:type="spellStart"/>
            <w:r w:rsidRPr="00960656">
              <w:rPr>
                <w:sz w:val="22"/>
                <w:szCs w:val="22"/>
              </w:rPr>
              <w:t>bdb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Bez uwag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prawa. Gałęzie prawa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Norma prawna i jej struktura.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System prawa i jego postulaty. Rodzaje luk w prawie.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Tworzenie prawa i jego funkcje. Reguły kolizyjne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Źródła prawa polskiego, europejskiego i międzynarodowego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Budowa tekstu prawnego.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Przepis prawa i jego rodzaje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Wykładnia prawa. Teorie, rodzaje i dyrektywy wykładni prawa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Wnioskowania prawnicze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Modele stosowania prawa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Inicjatywa ustawodawcza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Proces legislacyjny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techniki prawodawczej</w:t>
            </w:r>
          </w:p>
          <w:p w:rsidR="00303F50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Ogłaszanie aktów normatywnych i niektórych innych aktów prawnych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prawa karnego, jego cele i funkcje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Normy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Struktura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Podział przestępstw.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Miejscowy zakres obowiązywania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Kontratypy.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Wina. Okoliczności wyłączające winę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Strona przedmiotowa.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Strona podmiotowa.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Czynny żal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Formy stadialne popełnienia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Formy zjawiskowe popełnienia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Czyn ciągły, ciąg przestępstw.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wymiaru kar i środków karnych.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Rodzaje kar.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karne.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Przepadek i środki kompensacyjne.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poddania sprawcy próbie.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zabezpieczające.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Obiektywne przypisanie skutku.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Przedawnienie i zatarcie skazania.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i zakres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Działy prawa cywilnego.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Charakter przepisów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stosunku cywilnoprawnego, jego podmiotów i treści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Pojęcie, znaczenie, formy i skutki czynności cywilnoprawnych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Oświadczenia woli, ich rodzaje, znaczenie,  funkcje, sposoby wyrażania i odwoływanie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Rodzaje wad oświadczeń woli i konsekwencje ich wystąpienia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Własność i inne prawa rzeczowe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Ubezwłasnowolnienie całkowite i częściowe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Wszczęcie postępowania administracyjnego i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Podanie, jego treść i sposób jego wniesienia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Protokół w postępowaniu administracyjnym i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sądowoadministracyjnym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Udostępnianie akt sprawy zgodnie z kodeksem postępowania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dowodowe w kodeksie postępowania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Uprawnienia stron w postępowaniu administracyjnym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Decyzje w postępowaniu administracyjnym, ich rodzaje, forma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organami I instancji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prawne kontroli rozstrzygnięć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Stwierdzenie nieważności decyzji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sądami administracyjnymi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Kontrola administracji publicznej przez sądy administracyjne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Przesłanki dopuszczalności zaskarżenia decyzji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Wyrok sądu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Umorzenie postępowania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Zawieszenie postępowania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Charakter prawny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Źródła prawa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Organy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Akty prawne wydawane przez organy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Podział kompetencji Unii Europejskiej i między Unią Europejską a państwami członkowskimi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Wykładnia przepisów prawa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Implementacja prawa Unii Europejskiej do krajowego porządku prawnego </w:t>
            </w:r>
          </w:p>
          <w:p w:rsidR="00960656" w:rsidRP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sądami i trybunałami międzynarodowymi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960656" w:rsidRPr="00960656" w:rsidRDefault="007007AA" w:rsidP="00960656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60656" w:rsidRPr="00960656">
              <w:rPr>
                <w:rFonts w:cs="Arial"/>
              </w:rPr>
              <w:t xml:space="preserve">. T. </w:t>
            </w:r>
            <w:proofErr w:type="spellStart"/>
            <w:r w:rsidR="00960656" w:rsidRPr="00960656">
              <w:rPr>
                <w:rFonts w:cs="Arial"/>
              </w:rPr>
              <w:t>Chauvin</w:t>
            </w:r>
            <w:proofErr w:type="spellEnd"/>
            <w:r w:rsidR="00960656" w:rsidRPr="00960656">
              <w:rPr>
                <w:rFonts w:cs="Arial"/>
              </w:rPr>
              <w:t xml:space="preserve">, T. </w:t>
            </w:r>
            <w:proofErr w:type="spellStart"/>
            <w:r w:rsidR="00960656" w:rsidRPr="00960656">
              <w:rPr>
                <w:rFonts w:cs="Arial"/>
              </w:rPr>
              <w:t>Stawecki</w:t>
            </w:r>
            <w:proofErr w:type="spellEnd"/>
            <w:r w:rsidR="00960656" w:rsidRPr="00960656">
              <w:rPr>
                <w:rFonts w:cs="Arial"/>
              </w:rPr>
              <w:t xml:space="preserve">, P. Winczorek, </w:t>
            </w:r>
            <w:r w:rsidR="00960656" w:rsidRPr="00960656">
              <w:rPr>
                <w:rFonts w:cs="Arial"/>
                <w:iCs/>
              </w:rPr>
              <w:t>Wstęp do prawoznawstwa</w:t>
            </w:r>
            <w:r w:rsidR="00960656" w:rsidRPr="00960656">
              <w:rPr>
                <w:rFonts w:cs="Arial"/>
              </w:rPr>
              <w:t>, Wyd. C.H. Beck, Warszawa, 2018.</w:t>
            </w:r>
          </w:p>
          <w:p w:rsidR="00960656" w:rsidRPr="00960656" w:rsidRDefault="007007AA" w:rsidP="00960656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60656" w:rsidRPr="00960656">
              <w:rPr>
                <w:rFonts w:cs="Arial"/>
              </w:rPr>
              <w:t xml:space="preserve">. L. Morawski, </w:t>
            </w:r>
            <w:r w:rsidR="00960656" w:rsidRPr="00960656">
              <w:rPr>
                <w:rFonts w:cs="Arial"/>
                <w:iCs/>
              </w:rPr>
              <w:t>Wstęp do prawoznawstwa</w:t>
            </w:r>
            <w:r w:rsidR="00960656" w:rsidRPr="00960656">
              <w:rPr>
                <w:rFonts w:cs="Arial"/>
              </w:rPr>
              <w:t xml:space="preserve">, </w:t>
            </w:r>
            <w:proofErr w:type="spellStart"/>
            <w:r w:rsidR="00960656" w:rsidRPr="00960656">
              <w:rPr>
                <w:rFonts w:cs="Arial"/>
              </w:rPr>
              <w:t>TNOiK</w:t>
            </w:r>
            <w:proofErr w:type="spellEnd"/>
            <w:r w:rsidR="00960656" w:rsidRPr="00960656">
              <w:rPr>
                <w:rFonts w:cs="Arial"/>
              </w:rPr>
              <w:t xml:space="preserve"> Dom Organizatora, Toruń, 2016. </w:t>
            </w:r>
          </w:p>
          <w:p w:rsidR="00960656" w:rsidRPr="00960656" w:rsidRDefault="007007AA" w:rsidP="00960656">
            <w:pPr>
              <w:shd w:val="clear" w:color="auto" w:fill="FFFFFF"/>
            </w:pPr>
            <w:r>
              <w:rPr>
                <w:color w:val="000000"/>
              </w:rPr>
              <w:t>3</w:t>
            </w:r>
            <w:r w:rsidR="00960656" w:rsidRPr="00960656">
              <w:rPr>
                <w:color w:val="000000"/>
              </w:rPr>
              <w:t xml:space="preserve">. </w:t>
            </w:r>
            <w:r w:rsidR="00960656" w:rsidRPr="00960656">
              <w:t xml:space="preserve">R. </w:t>
            </w:r>
            <w:proofErr w:type="spellStart"/>
            <w:r w:rsidR="00960656" w:rsidRPr="00960656">
              <w:t>Sarkowicz</w:t>
            </w:r>
            <w:proofErr w:type="spellEnd"/>
            <w:r w:rsidR="00960656" w:rsidRPr="00960656">
              <w:t xml:space="preserve">, J. Stelmach, </w:t>
            </w:r>
            <w:r w:rsidR="00960656" w:rsidRPr="00960656">
              <w:rPr>
                <w:i/>
                <w:iCs/>
              </w:rPr>
              <w:t>Teoria prawa</w:t>
            </w:r>
            <w:r w:rsidR="00960656" w:rsidRPr="00960656">
              <w:t>, Wyd. UJ, Kraków 1998.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60656" w:rsidRPr="00960656">
              <w:rPr>
                <w:color w:val="000000"/>
              </w:rPr>
              <w:t>. P. Tuleja (red.), Konstytucja Rzeczypospolitej Polskiej. Komentarz, Wolters Kluwer, Warszawa 2019.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60656" w:rsidRPr="00960656">
              <w:rPr>
                <w:color w:val="000000"/>
              </w:rPr>
              <w:t>. W. Wróbel, A. Zoll, Polskie Prawo Karne. Część ogólna, Społeczny Instytut Wydawniczy Znak, Kraków 2013.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="00960656" w:rsidRPr="000C197A">
              <w:rPr>
                <w:color w:val="000000"/>
                <w:lang w:val="en-US"/>
              </w:rPr>
              <w:t xml:space="preserve">. W. </w:t>
            </w:r>
            <w:proofErr w:type="spellStart"/>
            <w:r w:rsidR="00960656" w:rsidRPr="000C197A">
              <w:rPr>
                <w:color w:val="000000"/>
                <w:lang w:val="en-US"/>
              </w:rPr>
              <w:t>Wróbel</w:t>
            </w:r>
            <w:proofErr w:type="spellEnd"/>
            <w:r w:rsidR="00960656" w:rsidRPr="000C197A">
              <w:rPr>
                <w:color w:val="000000"/>
                <w:lang w:val="en-US"/>
              </w:rPr>
              <w:t xml:space="preserve">, A. </w:t>
            </w:r>
            <w:proofErr w:type="spellStart"/>
            <w:r w:rsidR="00960656" w:rsidRPr="000C197A">
              <w:rPr>
                <w:color w:val="000000"/>
                <w:lang w:val="en-US"/>
              </w:rPr>
              <w:t>Zoll</w:t>
            </w:r>
            <w:proofErr w:type="spellEnd"/>
            <w:r w:rsidR="00960656" w:rsidRPr="000C197A">
              <w:rPr>
                <w:color w:val="000000"/>
                <w:lang w:val="en-US"/>
              </w:rPr>
              <w:t xml:space="preserve"> (red.) </w:t>
            </w:r>
            <w:r w:rsidR="00960656" w:rsidRPr="00960656">
              <w:rPr>
                <w:color w:val="000000"/>
              </w:rPr>
              <w:t>Kodeks Karny, część ogólna Komentarz do art. 1-52 , tom I, Wydawnictwo Wolters Kluwer, Warszawa 2016.</w:t>
            </w:r>
          </w:p>
          <w:p w:rsidR="00960656" w:rsidRPr="00960656" w:rsidRDefault="007007AA" w:rsidP="00960656">
            <w:pPr>
              <w:shd w:val="clear" w:color="auto" w:fill="FFFFFF"/>
            </w:pPr>
            <w:r>
              <w:t>7</w:t>
            </w:r>
            <w:r w:rsidR="00960656" w:rsidRPr="00960656">
              <w:t xml:space="preserve">. T. </w:t>
            </w:r>
            <w:proofErr w:type="spellStart"/>
            <w:r w:rsidR="00960656" w:rsidRPr="00960656">
              <w:t>Woś</w:t>
            </w:r>
            <w:proofErr w:type="spellEnd"/>
            <w:r w:rsidR="00960656" w:rsidRPr="00960656">
              <w:t xml:space="preserve"> (red.), Postępowanie sądowo-administracyjne, wyd. 8, Wyd. </w:t>
            </w:r>
            <w:proofErr w:type="spellStart"/>
            <w:r w:rsidR="00960656" w:rsidRPr="00960656">
              <w:t>WoltersKluwer</w:t>
            </w:r>
            <w:proofErr w:type="spellEnd"/>
            <w:r w:rsidR="00960656" w:rsidRPr="00960656">
              <w:t xml:space="preserve">, Warszawa 2017. 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sądownictwo międzynarodowe, Zagadnienia instytucjonalne, Wydawnictwo Uniwersytetu Wrocławskiego, Wrocław, tom I 2009, tom II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1. E. Kustra, </w:t>
            </w:r>
            <w:r w:rsidRPr="00960656">
              <w:rPr>
                <w:iCs/>
              </w:rPr>
              <w:t>Wstęp do nauk o państwie i prawie</w:t>
            </w:r>
            <w:r w:rsidRPr="00960656">
              <w:t xml:space="preserve">, </w:t>
            </w:r>
            <w:proofErr w:type="spellStart"/>
            <w:r w:rsidRPr="00960656">
              <w:t>TNOiK</w:t>
            </w:r>
            <w:proofErr w:type="spellEnd"/>
            <w:r w:rsidRPr="00960656">
              <w:t xml:space="preserve"> Dom Organizatora, Toruń 2000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2. M. </w:t>
            </w:r>
            <w:proofErr w:type="spellStart"/>
            <w:r w:rsidRPr="00960656">
              <w:t>Borucka-Arctowa</w:t>
            </w:r>
            <w:proofErr w:type="spellEnd"/>
            <w:r w:rsidRPr="00960656">
              <w:t xml:space="preserve">, J. Woleński, </w:t>
            </w:r>
            <w:r w:rsidRPr="00960656">
              <w:rPr>
                <w:iCs/>
              </w:rPr>
              <w:t>Wstęp do prawoznawstwa</w:t>
            </w:r>
            <w:r w:rsidRPr="00960656">
              <w:t>, Kraków 1998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4. W. Wróbel, A. Zoll (red.) Kodeks Karny, część ogólna Komentarz do art. 53-116 , tom II, Wydawnictwo Wolters Kluwer, Warszawa 2016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0C197A">
              <w:rPr>
                <w:lang w:val="en-US"/>
              </w:rPr>
              <w:t xml:space="preserve">5. W. </w:t>
            </w:r>
            <w:proofErr w:type="spellStart"/>
            <w:r w:rsidRPr="000C197A">
              <w:rPr>
                <w:lang w:val="en-US"/>
              </w:rPr>
              <w:t>Wróbel</w:t>
            </w:r>
            <w:proofErr w:type="spellEnd"/>
            <w:r w:rsidRPr="000C197A">
              <w:rPr>
                <w:lang w:val="en-US"/>
              </w:rPr>
              <w:t xml:space="preserve">, A. </w:t>
            </w:r>
            <w:proofErr w:type="spellStart"/>
            <w:r w:rsidRPr="000C197A">
              <w:rPr>
                <w:lang w:val="en-US"/>
              </w:rPr>
              <w:t>Zoll</w:t>
            </w:r>
            <w:proofErr w:type="spellEnd"/>
            <w:r w:rsidRPr="000C197A">
              <w:rPr>
                <w:lang w:val="en-US"/>
              </w:rPr>
              <w:t xml:space="preserve"> (red.) </w:t>
            </w:r>
            <w:r w:rsidRPr="00960656">
              <w:t>Kodeks Karny, część ogólna Komentarz do art. 278-363 , tom III, Wydawnictwo Wolters Kluwer, Warszawa 2016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11. K. Stasiak, Trybunały umiędzynarodowione w systemie międzynarodowego sądownictwa karnego, Katolicki Uniwersytet Lubelski, Wydział Prawa, Prawa Kanonicznego i Administracji, Katedra Prawa Międzynarodowego i Amerykańskiego, Wyd. KUL, Lublin 2012.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1122A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7007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122A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bookmarkStart w:id="0" w:name="_GoBack"/>
            <w:bookmarkEnd w:id="0"/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7007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82" w:rsidRDefault="009C1B82">
      <w:r>
        <w:separator/>
      </w:r>
    </w:p>
  </w:endnote>
  <w:endnote w:type="continuationSeparator" w:id="0">
    <w:p w:rsidR="009C1B82" w:rsidRDefault="009C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22A7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82" w:rsidRDefault="009C1B82">
      <w:r>
        <w:separator/>
      </w:r>
    </w:p>
  </w:footnote>
  <w:footnote w:type="continuationSeparator" w:id="0">
    <w:p w:rsidR="009C1B82" w:rsidRDefault="009C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sz w:val="20"/>
        <w:szCs w:val="20"/>
        <w:u w:val="single"/>
      </w:rPr>
      <w:t xml:space="preserve">Załącznik nr 4 </w:t>
    </w:r>
  </w:p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do Zarządzenia Nr RD/Z.0201-3/2020</w:t>
    </w:r>
  </w:p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Prorektora ds. Kształcenia</w:t>
    </w:r>
  </w:p>
  <w:p w:rsidR="00CA1C04" w:rsidRDefault="00CA1C04" w:rsidP="00CA1C04">
    <w:pPr>
      <w:pStyle w:val="Nagwek1"/>
      <w:jc w:val="right"/>
      <w:rPr>
        <w:rFonts w:ascii="Times New Roman" w:hAnsi="Times New Roman"/>
        <w:b/>
        <w:bCs/>
        <w:sz w:val="24"/>
        <w:szCs w:val="24"/>
      </w:rPr>
    </w:pPr>
  </w:p>
  <w:p w:rsidR="00E26253" w:rsidRPr="00CA1C04" w:rsidRDefault="00E26253" w:rsidP="00CA1C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D059FF"/>
    <w:multiLevelType w:val="hybridMultilevel"/>
    <w:tmpl w:val="33883990"/>
    <w:lvl w:ilvl="0" w:tplc="2E66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94DBF"/>
    <w:multiLevelType w:val="hybridMultilevel"/>
    <w:tmpl w:val="D6EEFC70"/>
    <w:lvl w:ilvl="0" w:tplc="E7485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953EF"/>
    <w:multiLevelType w:val="hybridMultilevel"/>
    <w:tmpl w:val="BCC4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7707"/>
    <w:rsid w:val="000400F2"/>
    <w:rsid w:val="00046EC4"/>
    <w:rsid w:val="00073C30"/>
    <w:rsid w:val="000C197A"/>
    <w:rsid w:val="000E16AB"/>
    <w:rsid w:val="00100620"/>
    <w:rsid w:val="001122A7"/>
    <w:rsid w:val="00257A2E"/>
    <w:rsid w:val="00293D67"/>
    <w:rsid w:val="00303F50"/>
    <w:rsid w:val="00334F8F"/>
    <w:rsid w:val="0034277B"/>
    <w:rsid w:val="003A49DD"/>
    <w:rsid w:val="00434CDD"/>
    <w:rsid w:val="0044050E"/>
    <w:rsid w:val="00533C41"/>
    <w:rsid w:val="00671CF1"/>
    <w:rsid w:val="007007AA"/>
    <w:rsid w:val="00700CD5"/>
    <w:rsid w:val="00716872"/>
    <w:rsid w:val="00827D3B"/>
    <w:rsid w:val="00847145"/>
    <w:rsid w:val="00874E59"/>
    <w:rsid w:val="008B3E0E"/>
    <w:rsid w:val="008B703C"/>
    <w:rsid w:val="009026FF"/>
    <w:rsid w:val="00960656"/>
    <w:rsid w:val="00984C8D"/>
    <w:rsid w:val="009C1B82"/>
    <w:rsid w:val="009C4760"/>
    <w:rsid w:val="009F04D7"/>
    <w:rsid w:val="00A35A93"/>
    <w:rsid w:val="00A64C02"/>
    <w:rsid w:val="00A8544F"/>
    <w:rsid w:val="00AB084B"/>
    <w:rsid w:val="00AE0289"/>
    <w:rsid w:val="00BF4D23"/>
    <w:rsid w:val="00C406F2"/>
    <w:rsid w:val="00CA1C04"/>
    <w:rsid w:val="00D32FBE"/>
    <w:rsid w:val="00D42ABC"/>
    <w:rsid w:val="00D76003"/>
    <w:rsid w:val="00DB3679"/>
    <w:rsid w:val="00DE2A4C"/>
    <w:rsid w:val="00E1778B"/>
    <w:rsid w:val="00E26253"/>
    <w:rsid w:val="00E621B6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975E5"/>
  <w15:chartTrackingRefBased/>
  <w15:docId w15:val="{191E399F-6DD0-4C21-8EA8-F1E27B07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styleId="Bezodstpw">
    <w:name w:val="No Spacing"/>
    <w:uiPriority w:val="1"/>
    <w:qFormat/>
    <w:rsid w:val="00BF4D23"/>
    <w:pPr>
      <w:widowControl w:val="0"/>
      <w:suppressAutoHyphens/>
      <w:autoSpaceDE w:val="0"/>
    </w:pPr>
    <w:rPr>
      <w:sz w:val="24"/>
      <w:szCs w:val="24"/>
    </w:rPr>
  </w:style>
  <w:style w:type="paragraph" w:customStyle="1" w:styleId="Tekstdymka2">
    <w:name w:val="Tekst dymka2"/>
    <w:basedOn w:val="Normalny"/>
    <w:rsid w:val="0096065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A1C04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D615A3-D417-4868-9FB7-72F1DD088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866C8-0689-4F34-B8F7-AA5BB56A9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DB6DC-B870-4D03-BF89-E75C198DD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1374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4</cp:revision>
  <cp:lastPrinted>2012-01-27T07:28:00Z</cp:lastPrinted>
  <dcterms:created xsi:type="dcterms:W3CDTF">2022-05-31T10:56:00Z</dcterms:created>
  <dcterms:modified xsi:type="dcterms:W3CDTF">2022-10-17T18:53:00Z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